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2E" w:rsidRDefault="00A9642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ANEXO X</w:t>
      </w:r>
    </w:p>
    <w:p w:rsidR="005E509E" w:rsidRPr="005E509E" w:rsidRDefault="005E509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DECLARACIÓN </w:t>
      </w:r>
      <w:r w:rsidR="00A228F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EXPRESA</w:t>
      </w: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DEL CUMPLIMIENTO DEL PRINCIPIO DE «NO CAUSAR PERJUICIO SIGNIFICATIVO» A LOS SEIS OBJETIVOS MEDIOAMBIENTALES EN EL SENTIDO DEL ARTÍCULO 17 DEL REGLAMENTO (UE) 2020/852</w:t>
      </w:r>
      <w:r w:rsidR="007A3948">
        <w:rPr>
          <w:rStyle w:val="Refdenotaalpie"/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footnoteReference w:id="1"/>
      </w:r>
    </w:p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  <w:r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  <w:t>Información sobre la actuación en el Plan de Recuperación,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819"/>
      </w:tblGrid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F83888">
              <w:rPr>
                <w:rFonts w:asciiTheme="minorHAnsi" w:eastAsia="Arial" w:hAnsiTheme="minorHAnsi" w:cstheme="minorHAnsi"/>
                <w:b/>
                <w:color w:val="000000"/>
                <w:sz w:val="22"/>
                <w:lang w:val="es-ES"/>
              </w:rPr>
              <w:t>Identificación de la actuación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AYUDAS DE APOYO A AGRUPACIONES EMPRESARIALES INNOVADORAS CON OBJETO DE MEJORAR LA COMPETITIVIDAD DE LAS PEQUEÑAS Y MEDIANAS EMPRESAS</w:t>
            </w:r>
          </w:p>
        </w:tc>
      </w:tr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Componente del PRTR al que pertenece la actividad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Componente 13 “Impulso a la PYME”</w:t>
            </w:r>
          </w:p>
        </w:tc>
      </w:tr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 xml:space="preserve">Medida (Reforma o Inversión) del Componente PRTR al que pertenece la actividad indicando, en su caso, la </w:t>
            </w:r>
            <w:proofErr w:type="spellStart"/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submedida</w:t>
            </w:r>
            <w:proofErr w:type="spellEnd"/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Inversión 3, Digitalización e innovación por la Administración</w:t>
            </w:r>
          </w:p>
        </w:tc>
      </w:tr>
      <w:tr w:rsidR="005E509E" w:rsidRPr="005E509E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Etiquetado climático y medioambiental asignado a la medida (Reforma o Inversión) o, en su caso, a la </w:t>
            </w:r>
            <w:proofErr w:type="spellStart"/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submedida</w:t>
            </w:r>
            <w:proofErr w:type="spellEnd"/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del PRTR (Anexo VI, Reglamento 2021/241)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5E509E" w:rsidP="009761D0">
            <w:pPr>
              <w:spacing w:before="40" w:after="40"/>
              <w:rPr>
                <w:rFonts w:asciiTheme="minorHAnsi" w:eastAsia="Arial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Sin etiqueta</w:t>
            </w:r>
          </w:p>
        </w:tc>
      </w:tr>
    </w:tbl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p w:rsidR="00321DC4" w:rsidRPr="00321DC4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[</w:t>
      </w:r>
      <w:r w:rsidRPr="00321DC4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Indicar estos datos para cada una de las entidades participantes</w:t>
      </w: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 en el proyecto]</w:t>
      </w:r>
    </w:p>
    <w:p w:rsidR="00321DC4" w:rsidRDefault="00321DC4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D./Dª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Con NIF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D873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P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or sí mismo/a o en representación de la entidad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on CIF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F83888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3888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En calidad de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3888" w:rsidRPr="00F83888" w:rsidRDefault="00F83888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5E509E" w:rsidRPr="00D873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Datos de contacto (dirección, teléfono, email)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5E509E" w:rsidRPr="00F83888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DECLARA</w:t>
      </w:r>
      <w:r w:rsidR="00321DC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N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que el proyecto denominado: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Con Nº. de expediente:</w:t>
      </w: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</w:t>
      </w: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</w:p>
    <w:p w:rsidR="00F83888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lastRenderedPageBreak/>
        <w:t>subvencionado a través de la Orden ICT/1117/2021, de 9 de octubre por el que se establecen las bases reguladoras de las ayudas de</w:t>
      </w:r>
      <w:bookmarkStart w:id="0" w:name="_GoBack"/>
      <w:bookmarkEnd w:id="0"/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apoyo a Agrupaciones Empresariales Innovadoras con objeto de mejorar la competitividad de l</w:t>
      </w:r>
      <w:r w:rsidR="004E5A9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as pequeñas y medianas empresas</w:t>
      </w: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, en el marco del Plan de Recuperación, Transformación y Resiliencia</w:t>
      </w:r>
      <w:r w:rsidRPr="00EB307F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, </w:t>
      </w:r>
      <w:r w:rsidR="004E5A9A" w:rsidRPr="00EB307F">
        <w:rPr>
          <w:rFonts w:asciiTheme="minorHAnsi" w:eastAsiaTheme="minorHAnsi" w:hAnsiTheme="minorHAnsi" w:cstheme="minorHAnsi"/>
          <w:sz w:val="22"/>
          <w:szCs w:val="22"/>
          <w:lang w:val="es-ES"/>
        </w:rPr>
        <w:t xml:space="preserve">modificada por la Orden ICT/474/2022, de 20 de mayo,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cumple lo siguiente:</w:t>
      </w:r>
    </w:p>
    <w:p w:rsid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 xml:space="preserve">A.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A9642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en el mismo no ocasionan un perjuicio significativo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 los siguientes objetivos medioambientales, según el artículo 17 del Reglamento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(UE) 2020/852 relativo al establecimiento de un marco para facilitar las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inversiones sostenibles mediante la implantación de un sistema de clasificación (o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«taxonomía») de las actividades económicas medioambientalmente sostenibles: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Mitigación del cambio climático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>- se considera que una actividad causa un perjuicio significativo a la mitigación del cambio climático si da lugar a considerables emisiones de gases de efecto invernadero (GEI).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Adaptación al cambio climático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Uso sostenible y protección de los recursos hídricos y marinos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Economía circular, incluidos la prevención y el reciclado de residuos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generación, incineración o eliminación de residuos; o si la eliminación de residuos a largo plazo puede causar un perjuicio significativo y a largo plazo para el medio ambiente.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Prevención y control de la contaminación a la atmósfera, el agua o el suelo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Protección y restauración de la biodiversidad y los ecosistemas</w:t>
      </w:r>
      <w:r w:rsidRPr="00F0105D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:rsidR="00F0105D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B</w:t>
      </w:r>
      <w:r w:rsidR="005E509E"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.</w:t>
      </w:r>
      <w:r w:rsidR="005E509E"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en el proyecto cumpl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en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la normativa medioambiental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vigente que resulte de aplicación.</w:t>
      </w:r>
    </w:p>
    <w:p w:rsidR="005E509E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C</w:t>
      </w:r>
      <w:r w:rsidR="005E509E"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.</w:t>
      </w:r>
      <w:r w:rsidR="005E509E"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desarrolladas </w:t>
      </w:r>
      <w:r w:rsidR="00DF06B0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en el proyecto no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están excluidas para su financiación por el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Plan al cumplir el principio DNSH conforme a la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Guía técnica sobre la aplicación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del principio de «no causar un perjuicio significativo» en virtud del Reglamento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relativo al Mecanismo de Recuperación y Resiliencia (2021/C 58/01)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2"/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, a la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Propuesta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 Decisión de Ejecución del Consejo relativa a la aprobación de la evaluación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del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lan de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ecuperación y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esiliencia de España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y a su correspondiente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Anexo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3"/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</w:p>
    <w:p w:rsidR="00DF06B0" w:rsidRPr="00F83888" w:rsidRDefault="00DF06B0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lastRenderedPageBreak/>
        <w:t>Las actividades excluidas son: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Construcción de refinerías de crudo, centrales térmicas de carbón y proyectos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que impliquen la extracción de petróleo o gas natural, debido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perjuicio al objetivo de mitigación del cambio climático.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los combustibles fósiles, incluida la utilización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ulterior de los mismos, excepto los proyectos relacionados con la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generación de electricidad y/o calor utilizando gas natural, así como con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infraestructura de transporte y distribución conexa, que cumplan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condiciones establecidas en el Anexo III de la Guía Técnica de la Comisión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Europea.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y activos en el marco del régimen de comercio de derechos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emisión de la UE (RCDE) en relación con las cuales se prevea que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emisiones de gases de efecto invernadero que van a provocar no se situarán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por debajo de los parámetros de referencia pertinentes. Cuando se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prevea que las emisiones de gases de efecto invernadero provocadas por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actividad subvencionada no van a ser significativamente inferiores a los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parámetros de referencia, deberá facilitarse una explicación motivada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respecto.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Compensación de los costes indirectos del RCDE.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vertederos de residuos e incineradoras,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dedicadas exclusivamente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al tratamiento de residuos peligrosos no reciclables, ni en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plantas existentes, cuando dichas acciones tengan por objeto aumentar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eficiencia energética, capturar los gases de escape para su almacenamiento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o utilización, o recuperar materiales de las cenizas de incineración,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siempre que tales acciones no conlleven un aumento de la capacidad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tratamiento de residuos de las plantas o a una prolongación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su vida útil; estos pormenores deberán justificarse documentalmente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para cada planta.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plantas de tratamiento mecánico-biológico,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 tratamiento mecánico-biológico existentes, cuando dichas acciones tengan por objeto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aumentar su eficiencia energética o su reacondicionamiento para operaciones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reciclaje de residuos separados, como el compostaje y la digestión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="008C56B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anaerobia de </w:t>
      </w:r>
      <w:proofErr w:type="spellStart"/>
      <w:r w:rsidR="008C56BA">
        <w:rPr>
          <w:rFonts w:asciiTheme="minorHAnsi" w:eastAsiaTheme="minorHAnsi" w:hAnsiTheme="minorHAnsi" w:cstheme="minorHAnsi"/>
          <w:color w:val="000000"/>
          <w:szCs w:val="22"/>
          <w:lang w:val="es-ES"/>
        </w:rPr>
        <w:t>bio</w:t>
      </w:r>
      <w:proofErr w:type="spellEnd"/>
      <w:r w:rsidR="008C56BA">
        <w:rPr>
          <w:rFonts w:asciiTheme="minorHAnsi" w:eastAsiaTheme="minorHAnsi" w:hAnsiTheme="minorHAnsi" w:cstheme="minorHAnsi"/>
          <w:color w:val="000000"/>
          <w:szCs w:val="22"/>
          <w:lang w:val="es-ES"/>
        </w:rPr>
        <w:t>-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residuos, siempre que tales acciones no conlleven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un aumento de la capacidad de tratamiento de residuos de las plantas 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 una prolongación de su vida útil; estos pormenores deberán justificarse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documentalmente para cada planta.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en las que la eliminación a largo plazo de residuos pueda causar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daños al medio ambiente.</w:t>
      </w:r>
    </w:p>
    <w:p w:rsidR="005E509E" w:rsidRP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E91582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E.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A9642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no causan efectos directos sobre el medioambiente,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ni efectos indirectos primarios en todo su ciclo de vida, entendiendo como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tales aquéllos que pudieran materializarse tras su finalización, una vez realizada la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actividad.</w:t>
      </w:r>
    </w:p>
    <w:p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:rsidR="005E509E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El incumplimiento de alguno de los requisitos establecidos en la presente declaración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dará lugar a la obligación de devolver las cantidades percibidas y los intereses de demora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correspondientes.</w:t>
      </w:r>
    </w:p>
    <w:p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:rsidR="00321DC4" w:rsidRPr="00321DC4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[El documento debe estar firmado </w:t>
      </w:r>
      <w:r w:rsidR="007F1B46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electrónicamente </w:t>
      </w: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por todos los participantes indicados arriba]</w:t>
      </w:r>
    </w:p>
    <w:p w:rsidR="00E91582" w:rsidRPr="00F83888" w:rsidRDefault="00E91582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sectPr w:rsidR="00E91582" w:rsidRPr="00F83888" w:rsidSect="00F01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135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25" w:rsidRDefault="00804325" w:rsidP="005D50AA">
      <w:r>
        <w:separator/>
      </w:r>
    </w:p>
  </w:endnote>
  <w:endnote w:type="continuationSeparator" w:id="0">
    <w:p w:rsidR="00804325" w:rsidRDefault="00804325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EB307F" w:rsidRPr="00EB307F">
          <w:rPr>
            <w:rFonts w:asciiTheme="minorHAnsi" w:hAnsiTheme="minorHAnsi" w:cstheme="minorHAnsi"/>
            <w:noProof/>
            <w:sz w:val="18"/>
            <w:lang w:val="es-ES"/>
          </w:rPr>
          <w:t>2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5D50AA" w:rsidRDefault="005D5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25" w:rsidRDefault="00804325" w:rsidP="005D50AA">
      <w:r>
        <w:separator/>
      </w:r>
    </w:p>
  </w:footnote>
  <w:footnote w:type="continuationSeparator" w:id="0">
    <w:p w:rsidR="00804325" w:rsidRDefault="00804325" w:rsidP="005D50AA">
      <w:r>
        <w:continuationSeparator/>
      </w:r>
    </w:p>
  </w:footnote>
  <w:footnote w:id="1">
    <w:p w:rsidR="007A3948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</w:rPr>
        <w:footnoteRef/>
      </w:r>
      <w:r w:rsidRPr="007A3948">
        <w:rPr>
          <w:rFonts w:asciiTheme="minorHAnsi" w:hAnsiTheme="minorHAnsi" w:cstheme="minorHAnsi"/>
          <w:sz w:val="16"/>
          <w:lang w:val="es-ES"/>
        </w:rPr>
        <w:t xml:space="preserve"> </w:t>
      </w:r>
      <w:r>
        <w:rPr>
          <w:rFonts w:asciiTheme="minorHAnsi" w:hAnsiTheme="minorHAnsi" w:cstheme="minorHAnsi"/>
          <w:sz w:val="16"/>
          <w:lang w:val="es-ES"/>
        </w:rPr>
        <w:t>Modelo de declaración e</w:t>
      </w:r>
      <w:r w:rsidRPr="007A3948">
        <w:rPr>
          <w:rFonts w:asciiTheme="minorHAnsi" w:hAnsiTheme="minorHAnsi" w:cstheme="minorHAnsi"/>
          <w:sz w:val="16"/>
          <w:lang w:val="es-ES"/>
        </w:rPr>
        <w:t>laborad</w:t>
      </w:r>
      <w:r>
        <w:rPr>
          <w:rFonts w:asciiTheme="minorHAnsi" w:hAnsiTheme="minorHAnsi" w:cstheme="minorHAnsi"/>
          <w:sz w:val="16"/>
          <w:lang w:val="es-ES"/>
        </w:rPr>
        <w:t>o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 conforme </w:t>
      </w:r>
      <w:r>
        <w:rPr>
          <w:rFonts w:asciiTheme="minorHAnsi" w:hAnsiTheme="minorHAnsi" w:cstheme="minorHAnsi"/>
          <w:sz w:val="16"/>
          <w:lang w:val="es-ES"/>
        </w:rPr>
        <w:t xml:space="preserve">a lo 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recogido en la “Guía para el diseño y desarrollo de actuaciones acordes con el principio de no causar un perjuicio significativo al medio ambiente” </w:t>
      </w:r>
      <w:hyperlink r:id="rId1" w:history="1">
        <w:r w:rsidRPr="00410E97">
          <w:rPr>
            <w:rStyle w:val="Hipervnculo"/>
            <w:rFonts w:asciiTheme="minorHAnsi" w:hAnsiTheme="minorHAnsi" w:cstheme="minorHAnsi"/>
            <w:sz w:val="16"/>
            <w:lang w:val="es-ES"/>
          </w:rPr>
          <w:t>https://www.miteco.gob.es/es/ministerio/recuperacion-transformacion-resiliencia/transicion-verde/guiadnshmitecov20_tcm30-528436.pdf</w:t>
        </w:r>
      </w:hyperlink>
      <w:r>
        <w:rPr>
          <w:rFonts w:asciiTheme="minorHAnsi" w:hAnsiTheme="minorHAnsi" w:cstheme="minorHAnsi"/>
          <w:sz w:val="16"/>
          <w:lang w:val="es-ES"/>
        </w:rPr>
        <w:t>, Anexo</w:t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III.</w:t>
      </w:r>
    </w:p>
  </w:footnote>
  <w:footnote w:id="2">
    <w:p w:rsidR="00B03DAA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2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https://www.boe.es/buscar/doc.php?id=DOUE-Z-2021-70014</w:t>
        </w:r>
      </w:hyperlink>
    </w:p>
  </w:footnote>
  <w:footnote w:id="3">
    <w:p w:rsidR="00B03DAA" w:rsidRPr="007A3948" w:rsidRDefault="007A3948">
      <w:pPr>
        <w:pStyle w:val="Textonotapie"/>
        <w:rPr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3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https://eur-lex.europa.eu/legal-content/ES/TXT/PDF/?uri=CELEX:52021PC0322&amp;from=EN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B4" w:rsidRDefault="00C32002">
    <w:pPr>
      <w:pStyle w:val="Encabezado"/>
    </w:pPr>
    <w:r>
      <w:rPr>
        <w:noProof/>
        <w:lang w:val="es-ES" w:eastAsia="es-ES"/>
      </w:rPr>
      <w:drawing>
        <wp:inline distT="0" distB="0" distL="0" distR="0" wp14:anchorId="7E2CC3E9" wp14:editId="1664ADFE">
          <wp:extent cx="5671185" cy="545190"/>
          <wp:effectExtent l="0" t="0" r="5715" b="762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54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52D33"/>
    <w:rsid w:val="00062982"/>
    <w:rsid w:val="000712B4"/>
    <w:rsid w:val="00120954"/>
    <w:rsid w:val="001679FF"/>
    <w:rsid w:val="001C16C2"/>
    <w:rsid w:val="001C5BC1"/>
    <w:rsid w:val="001D219A"/>
    <w:rsid w:val="001F5E44"/>
    <w:rsid w:val="00204749"/>
    <w:rsid w:val="00206DE5"/>
    <w:rsid w:val="00217D58"/>
    <w:rsid w:val="00221F0F"/>
    <w:rsid w:val="00225BF6"/>
    <w:rsid w:val="002409F7"/>
    <w:rsid w:val="002573CA"/>
    <w:rsid w:val="002F43C6"/>
    <w:rsid w:val="00321DC4"/>
    <w:rsid w:val="00344B34"/>
    <w:rsid w:val="003C1303"/>
    <w:rsid w:val="003F6BAF"/>
    <w:rsid w:val="0045760E"/>
    <w:rsid w:val="004E5A9A"/>
    <w:rsid w:val="004F0847"/>
    <w:rsid w:val="005C19CE"/>
    <w:rsid w:val="005D50AA"/>
    <w:rsid w:val="005E509E"/>
    <w:rsid w:val="006E6079"/>
    <w:rsid w:val="007A3948"/>
    <w:rsid w:val="007C1E68"/>
    <w:rsid w:val="007E7739"/>
    <w:rsid w:val="007F1B46"/>
    <w:rsid w:val="00804325"/>
    <w:rsid w:val="00845D7C"/>
    <w:rsid w:val="00860D1D"/>
    <w:rsid w:val="008718AE"/>
    <w:rsid w:val="008917C7"/>
    <w:rsid w:val="008C56BA"/>
    <w:rsid w:val="008D4553"/>
    <w:rsid w:val="009761D0"/>
    <w:rsid w:val="00A228F6"/>
    <w:rsid w:val="00A30941"/>
    <w:rsid w:val="00A83C3D"/>
    <w:rsid w:val="00A9642E"/>
    <w:rsid w:val="00AB175E"/>
    <w:rsid w:val="00B03DAA"/>
    <w:rsid w:val="00B66ED4"/>
    <w:rsid w:val="00B839FD"/>
    <w:rsid w:val="00B91BD1"/>
    <w:rsid w:val="00BE32DD"/>
    <w:rsid w:val="00C32002"/>
    <w:rsid w:val="00C612E7"/>
    <w:rsid w:val="00C71C90"/>
    <w:rsid w:val="00CF7B15"/>
    <w:rsid w:val="00D86ED8"/>
    <w:rsid w:val="00D87388"/>
    <w:rsid w:val="00DB4EB4"/>
    <w:rsid w:val="00DF06B0"/>
    <w:rsid w:val="00E83396"/>
    <w:rsid w:val="00E90E95"/>
    <w:rsid w:val="00E91582"/>
    <w:rsid w:val="00EB307F"/>
    <w:rsid w:val="00F0105D"/>
    <w:rsid w:val="00F1685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S/TXT/PDF/?uri=CELEX:52021PC0322&amp;from=EN" TargetMode="External"/><Relationship Id="rId2" Type="http://schemas.openxmlformats.org/officeDocument/2006/relationships/hyperlink" Target="https://www.boe.es/buscar/doc.php?id=DOUE-Z-2021-70014" TargetMode="External"/><Relationship Id="rId1" Type="http://schemas.openxmlformats.org/officeDocument/2006/relationships/hyperlink" Target="https://www.miteco.gob.es/es/ministerio/recuperacion-transformacion-resiliencia/transicion-verde/guiadnshmitecov20_tcm30-52843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A2151F0-F4AE-45C2-850B-F66A5F16E35B">9</MCLDOrden>
    <MCLDDescripcion xmlns="DA2151F0-F4AE-45C2-850B-F66A5F16E3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DF4BDC832419F44B52177E4B6BF299B" ma:contentTypeVersion="9" ma:contentTypeDescription="Tipo de contenido para las bibliotecas de documentos de tipo listado de documentos" ma:contentTypeScope="" ma:versionID="24ad2445cdf3d5a2b762b402e182d16b">
  <xsd:schema xmlns:xsd="http://www.w3.org/2001/XMLSchema" xmlns:xs="http://www.w3.org/2001/XMLSchema" xmlns:p="http://schemas.microsoft.com/office/2006/metadata/properties" xmlns:ns2="DA2151F0-F4AE-45C2-850B-F66A5F16E35B" xmlns:ns3="cc47aa10-76f6-44fd-8d2a-3cf7ed5e9a19" targetNamespace="http://schemas.microsoft.com/office/2006/metadata/properties" ma:root="true" ma:fieldsID="5b04f7db3de4ac9fa20216e565abb329" ns2:_="" ns3:_="">
    <xsd:import namespace="DA2151F0-F4AE-45C2-850B-F66A5F16E35B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51F0-F4AE-45C2-850B-F66A5F16E35B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7F0BBA5F-EB6E-4A0E-838C-93AB07C2EEBE}"/>
</file>

<file path=customXml/itemProps2.xml><?xml version="1.0" encoding="utf-8"?>
<ds:datastoreItem xmlns:ds="http://schemas.openxmlformats.org/officeDocument/2006/customXml" ds:itemID="{C6EA1EB6-FF41-4F28-B06F-6A178BA2262E}"/>
</file>

<file path=customXml/itemProps3.xml><?xml version="1.0" encoding="utf-8"?>
<ds:datastoreItem xmlns:ds="http://schemas.openxmlformats.org/officeDocument/2006/customXml" ds:itemID="{76A82B87-7684-4E83-A945-B4185FC0B2DA}"/>
</file>

<file path=customXml/itemProps4.xml><?xml version="1.0" encoding="utf-8"?>
<ds:datastoreItem xmlns:ds="http://schemas.openxmlformats.org/officeDocument/2006/customXml" ds:itemID="{ECCEA302-C8A5-4FB7-A01A-A43430F3A9AF}"/>
</file>

<file path=customXml/itemProps5.xml><?xml version="1.0" encoding="utf-8"?>
<ds:datastoreItem xmlns:ds="http://schemas.openxmlformats.org/officeDocument/2006/customXml" ds:itemID="{CD652F58-F5F3-4739-8A5B-8DBB87FF3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Justificativa AEI-2022b Anexo X (actualizado: 15/12/2022)</dc:title>
  <dc:subject/>
  <dc:creator/>
  <cp:keywords/>
  <dc:description/>
  <cp:lastModifiedBy/>
  <cp:revision>1</cp:revision>
  <dcterms:created xsi:type="dcterms:W3CDTF">2022-06-29T09:15:00Z</dcterms:created>
  <dcterms:modified xsi:type="dcterms:W3CDTF">2022-12-15T08:36:00Z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0x0101002B548C03437E43FC972CE33E155068B4001DF4BDC832419F44B52177E4B6BF299B</vt:lpwstr>
  </property>
</Properties>
</file>